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eastAsia="Times New Roman" w:cstheme="minorHAnsi"/>
          <w:b/>
          <w:bCs/>
          <w:color w:val="000000"/>
          <w:kern w:val="0"/>
          <w:lang w:eastAsia="mt-MT"/>
          <w14:ligatures w14:val="none"/>
        </w:rPr>
      </w:pPr>
      <w:r>
        <w:rPr>
          <w:rFonts w:eastAsia="Times New Roman" w:cstheme="minorHAnsi"/>
          <w:b/>
          <w:bCs/>
          <w:color w:val="000000"/>
          <w:kern w:val="0"/>
          <w:lang w:eastAsia="mt-MT"/>
          <w14:ligatures w14:val="none"/>
        </w:rPr>
        <w:t xml:space="preserve">TENDERER’S TECHNICAL OFFER </w:t>
      </w:r>
    </w:p>
    <w:p>
      <w:pPr>
        <w:spacing w:after="0" w:line="360" w:lineRule="auto"/>
        <w:jc w:val="both"/>
        <w:rPr>
          <w:rFonts w:hint="default" w:eastAsia="Times New Roman" w:cstheme="minorHAnsi"/>
          <w:b/>
          <w:bCs/>
          <w:kern w:val="0"/>
          <w:sz w:val="32"/>
          <w:szCs w:val="32"/>
          <w:lang w:val="en-GB" w:eastAsia="mt-MT"/>
          <w14:ligatures w14:val="none"/>
        </w:rPr>
      </w:pPr>
      <w:r>
        <w:rPr>
          <w:rFonts w:hint="default" w:eastAsia="Times New Roman" w:cstheme="minorHAnsi"/>
          <w:b/>
          <w:bCs/>
          <w:kern w:val="0"/>
          <w:sz w:val="32"/>
          <w:szCs w:val="32"/>
          <w:lang w:val="en-GB" w:eastAsia="mt-MT"/>
          <w14:ligatures w14:val="none"/>
        </w:rPr>
        <w:t>LOT</w:t>
      </w:r>
      <w:bookmarkStart w:id="0" w:name="_GoBack"/>
      <w:bookmarkEnd w:id="0"/>
      <w:r>
        <w:rPr>
          <w:rFonts w:hint="default" w:eastAsia="Times New Roman" w:cstheme="minorHAnsi"/>
          <w:b/>
          <w:bCs/>
          <w:kern w:val="0"/>
          <w:sz w:val="32"/>
          <w:szCs w:val="32"/>
          <w:lang w:val="en-GB" w:eastAsia="mt-MT"/>
          <w14:ligatures w14:val="none"/>
        </w:rPr>
        <w:t xml:space="preserve"> 2</w:t>
      </w:r>
    </w:p>
    <w:p>
      <w:pPr>
        <w:spacing w:after="0" w:line="360" w:lineRule="auto"/>
        <w:jc w:val="both"/>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The Technical Offer shall constitute the following: </w:t>
      </w:r>
    </w:p>
    <w:p>
      <w:pPr>
        <w:spacing w:after="0" w:line="360" w:lineRule="auto"/>
        <w:jc w:val="both"/>
        <w:rPr>
          <w:rFonts w:eastAsia="Times New Roman" w:cstheme="minorHAnsi"/>
          <w:color w:val="000000"/>
          <w:kern w:val="0"/>
          <w:lang w:eastAsia="mt-MT"/>
          <w14:ligatures w14:val="none"/>
        </w:rPr>
      </w:pPr>
    </w:p>
    <w:p>
      <w:pPr>
        <w:spacing w:after="0" w:line="360" w:lineRule="auto"/>
        <w:jc w:val="both"/>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Tenderer’s Technical Offer in response to specifications. </w:t>
      </w:r>
    </w:p>
    <w:p>
      <w:pPr>
        <w:spacing w:after="0" w:line="360" w:lineRule="auto"/>
        <w:jc w:val="both"/>
        <w:rPr>
          <w:rFonts w:eastAsia="Times New Roman" w:cstheme="minorHAnsi"/>
          <w:color w:val="000000"/>
          <w:kern w:val="0"/>
          <w:lang w:eastAsia="mt-MT"/>
          <w14:ligatures w14:val="none"/>
        </w:rPr>
      </w:pPr>
      <w:r>
        <w:rPr>
          <w:rFonts w:eastAsia="Times New Roman" w:cstheme="minorHAnsi"/>
          <w:color w:val="000000"/>
          <w:kern w:val="0"/>
          <w:lang w:eastAsia="mt-MT"/>
          <w14:ligatures w14:val="none"/>
        </w:rPr>
        <w:t xml:space="preserve">1) </w:t>
      </w:r>
      <w:r>
        <w:rPr>
          <w:rFonts w:eastAsia="Times New Roman" w:cstheme="minorHAnsi"/>
          <w:b/>
          <w:bCs/>
          <w:color w:val="000000"/>
          <w:kern w:val="0"/>
          <w:lang w:eastAsia="mt-MT"/>
          <w14:ligatures w14:val="none"/>
        </w:rPr>
        <w:t xml:space="preserve">Key </w:t>
      </w:r>
      <w:r>
        <w:rPr>
          <w:rFonts w:eastAsia="Times New Roman" w:cstheme="minorHAnsi"/>
          <w:b/>
          <w:bCs/>
          <w:color w:val="000000"/>
          <w:kern w:val="0"/>
          <w:lang w:val="en-GB" w:eastAsia="mt-MT"/>
          <w14:ligatures w14:val="none"/>
        </w:rPr>
        <w:t>Experts Form</w:t>
      </w:r>
      <w:r>
        <w:rPr>
          <w:rFonts w:eastAsia="Times New Roman" w:cstheme="minorHAnsi"/>
          <w:b/>
          <w:bCs/>
          <w:color w:val="000000"/>
          <w:kern w:val="0"/>
          <w:lang w:eastAsia="mt-MT"/>
          <w14:ligatures w14:val="none"/>
        </w:rPr>
        <w:t xml:space="preserve"> </w:t>
      </w:r>
      <w:r>
        <w:rPr>
          <w:rFonts w:eastAsia="Times New Roman" w:cstheme="minorHAnsi"/>
          <w:color w:val="000000"/>
          <w:kern w:val="0"/>
          <w:lang w:eastAsia="mt-MT"/>
          <w14:ligatures w14:val="none"/>
        </w:rPr>
        <w:t xml:space="preserve">(Note 2A) The Key Personnel that the Contractor must deploy for this project as per Key Expert Form and as outlined in Clause 7 C of the Instructions to </w:t>
      </w:r>
      <w:r>
        <w:rPr>
          <w:rFonts w:eastAsia="Times New Roman" w:cstheme="minorHAnsi"/>
          <w:color w:val="000000"/>
          <w:kern w:val="0"/>
          <w:lang w:val="en-GB" w:eastAsia="mt-MT"/>
          <w14:ligatures w14:val="none"/>
        </w:rPr>
        <w:t>T</w:t>
      </w:r>
      <w:r>
        <w:rPr>
          <w:rFonts w:eastAsia="Times New Roman" w:cstheme="minorHAnsi"/>
          <w:color w:val="000000"/>
          <w:kern w:val="0"/>
          <w:lang w:eastAsia="mt-MT"/>
          <w14:ligatures w14:val="none"/>
        </w:rPr>
        <w:t xml:space="preserve">enderers. </w:t>
      </w:r>
    </w:p>
    <w:p>
      <w:pPr>
        <w:spacing w:after="0" w:line="360" w:lineRule="auto"/>
        <w:jc w:val="both"/>
        <w:rPr>
          <w:rFonts w:eastAsia="Times New Roman" w:cstheme="minorHAnsi"/>
          <w:color w:val="000000"/>
          <w:kern w:val="0"/>
          <w:lang w:eastAsia="mt-MT"/>
          <w14:ligatures w14:val="none"/>
        </w:rPr>
      </w:pPr>
    </w:p>
    <w:p>
      <w:pPr>
        <w:tabs>
          <w:tab w:val="left" w:pos="72"/>
        </w:tabs>
        <w:spacing w:line="360" w:lineRule="auto"/>
        <w:jc w:val="both"/>
        <w:rPr>
          <w:rFonts w:ascii="Trebuchet MS" w:hAnsi="Trebuchet MS"/>
          <w:color w:val="000000"/>
          <w:sz w:val="20"/>
          <w:szCs w:val="20"/>
        </w:rPr>
      </w:pPr>
    </w:p>
    <w:p>
      <w:pPr>
        <w:numPr>
          <w:ilvl w:val="0"/>
          <w:numId w:val="1"/>
        </w:numPr>
        <w:tabs>
          <w:tab w:val="left" w:pos="72"/>
        </w:tabs>
        <w:spacing w:after="0" w:line="360" w:lineRule="auto"/>
        <w:jc w:val="both"/>
        <w:rPr>
          <w:rFonts w:ascii="Trebuchet MS" w:hAnsi="Trebuchet MS"/>
          <w:color w:val="000000"/>
          <w:sz w:val="20"/>
          <w:szCs w:val="20"/>
        </w:rPr>
      </w:pPr>
      <w:r>
        <w:rPr>
          <w:rFonts w:ascii="Trebuchet MS" w:hAnsi="Trebuchet MS"/>
          <w:color w:val="000000"/>
          <w:sz w:val="20"/>
          <w:szCs w:val="20"/>
        </w:rPr>
        <w:t xml:space="preserve">Tender Technical Offer Declaration Form signed by the bidder </w:t>
      </w:r>
      <w:r>
        <w:rPr>
          <w:rFonts w:ascii="Trebuchet MS" w:hAnsi="Trebuchet MS" w:cs="Arial"/>
          <w:sz w:val="20"/>
          <w:szCs w:val="20"/>
          <w:vertAlign w:val="superscript"/>
          <w:lang w:val="en-GB"/>
        </w:rPr>
        <w:t>(Note 3)</w:t>
      </w:r>
      <w:r>
        <w:rPr>
          <w:rFonts w:ascii="Trebuchet MS" w:hAnsi="Trebuchet MS"/>
          <w:color w:val="000000"/>
          <w:sz w:val="20"/>
          <w:szCs w:val="20"/>
        </w:rPr>
        <w:t xml:space="preserve">. </w:t>
      </w:r>
      <w:r>
        <w:rPr>
          <w:rFonts w:ascii="Trebuchet MS" w:hAnsi="Trebuchet MS"/>
          <w:b/>
          <w:color w:val="000000"/>
          <w:sz w:val="20"/>
          <w:szCs w:val="20"/>
        </w:rPr>
        <w:t>(Note: Submission of an unsigned declaration form or a modified declaration form will automatically invalidate the tender bid).</w:t>
      </w:r>
    </w:p>
    <w:p>
      <w:pPr>
        <w:pStyle w:val="6"/>
        <w:numPr>
          <w:ilvl w:val="0"/>
          <w:numId w:val="1"/>
        </w:numPr>
        <w:tabs>
          <w:tab w:val="left" w:pos="-1341"/>
        </w:tabs>
        <w:spacing w:before="120" w:line="360" w:lineRule="auto"/>
        <w:ind w:right="410"/>
        <w:jc w:val="both"/>
        <w:rPr>
          <w:rFonts w:ascii="Trebuchet MS" w:hAnsi="Trebuchet MS" w:cs="Arial"/>
          <w:sz w:val="20"/>
          <w:szCs w:val="20"/>
          <w:lang w:val="en-GB"/>
        </w:rPr>
      </w:pPr>
      <w:r>
        <w:rPr>
          <w:rFonts w:ascii="Trebuchet MS" w:hAnsi="Trebuchet MS" w:cs="Arial"/>
          <w:sz w:val="20"/>
          <w:szCs w:val="20"/>
          <w:lang w:val="en-GB"/>
        </w:rPr>
        <w:t xml:space="preserve">A detailed </w:t>
      </w:r>
      <w:r>
        <w:rPr>
          <w:rFonts w:ascii="Trebuchet MS" w:hAnsi="Trebuchet MS" w:cs="Arial"/>
          <w:sz w:val="20"/>
          <w:szCs w:val="20"/>
          <w:u w:val="single"/>
          <w:lang w:val="en-GB"/>
        </w:rPr>
        <w:t>Method Statement</w:t>
      </w:r>
      <w:r>
        <w:rPr>
          <w:rFonts w:ascii="Trebuchet MS" w:hAnsi="Trebuchet MS" w:cs="Arial"/>
          <w:sz w:val="20"/>
          <w:szCs w:val="20"/>
          <w:lang w:val="en-GB"/>
        </w:rPr>
        <w:t xml:space="preserve"> clearly explaining the methodology to be employed in order how the cabling will be passed and fixed, and how the luminaires will be fixed in order to preserve the grade 1 monument as indicated in the tender specifications. </w:t>
      </w:r>
      <w:r>
        <w:rPr>
          <w:rFonts w:ascii="Trebuchet MS" w:hAnsi="Trebuchet MS" w:cs="Arial"/>
          <w:sz w:val="20"/>
          <w:szCs w:val="20"/>
          <w:vertAlign w:val="superscript"/>
          <w:lang w:val="en-GB"/>
        </w:rPr>
        <w:t>(Note 3)</w:t>
      </w:r>
      <w:r>
        <w:rPr>
          <w:rFonts w:ascii="Trebuchet MS" w:hAnsi="Trebuchet MS" w:cs="Arial"/>
          <w:sz w:val="20"/>
          <w:szCs w:val="20"/>
          <w:lang w:val="en-GB"/>
        </w:rPr>
        <w:t xml:space="preserve"> </w:t>
      </w:r>
    </w:p>
    <w:p>
      <w:pPr>
        <w:numPr>
          <w:ilvl w:val="0"/>
          <w:numId w:val="1"/>
        </w:numPr>
        <w:tabs>
          <w:tab w:val="left" w:pos="72"/>
        </w:tabs>
        <w:spacing w:after="0" w:line="360" w:lineRule="auto"/>
        <w:jc w:val="both"/>
        <w:rPr>
          <w:rFonts w:ascii="Trebuchet MS" w:hAnsi="Trebuchet MS"/>
          <w:b/>
          <w:color w:val="000000"/>
          <w:sz w:val="20"/>
          <w:szCs w:val="20"/>
        </w:rPr>
      </w:pPr>
      <w:r>
        <w:rPr>
          <w:rFonts w:ascii="Trebuchet MS" w:hAnsi="Trebuchet MS" w:cs="Arial"/>
          <w:sz w:val="20"/>
          <w:szCs w:val="20"/>
          <w:lang w:val="en-GB"/>
        </w:rPr>
        <w:t>A Construction/Site Management Plan</w:t>
      </w:r>
      <w:r>
        <w:rPr>
          <w:rFonts w:ascii="Trebuchet MS" w:hAnsi="Trebuchet MS"/>
          <w:sz w:val="20"/>
          <w:szCs w:val="20"/>
          <w:lang w:val="en-GB"/>
        </w:rPr>
        <w:t xml:space="preserve"> clearly outlining any scaffolding intended for use, hoarding and protection, site storage, the use of machinery and equipment, and the human resources that the tenderer envisages to deploy on the site for the completion of the works in question. The plan may include drawings or sketches illustrating site dynamics and logistics. </w:t>
      </w:r>
      <w:r>
        <w:rPr>
          <w:rFonts w:ascii="Trebuchet MS" w:hAnsi="Trebuchet MS" w:cs="Arial"/>
          <w:sz w:val="20"/>
          <w:szCs w:val="20"/>
          <w:vertAlign w:val="superscript"/>
          <w:lang w:val="en-GB"/>
        </w:rPr>
        <w:t>(Note 3)</w:t>
      </w:r>
    </w:p>
    <w:p>
      <w:pPr>
        <w:numPr>
          <w:ilvl w:val="0"/>
          <w:numId w:val="1"/>
        </w:numPr>
        <w:tabs>
          <w:tab w:val="left" w:pos="72"/>
        </w:tabs>
        <w:spacing w:after="0" w:line="360" w:lineRule="auto"/>
        <w:jc w:val="both"/>
        <w:rPr>
          <w:rFonts w:ascii="Trebuchet MS" w:hAnsi="Trebuchet MS"/>
          <w:b/>
          <w:color w:val="000000"/>
          <w:sz w:val="20"/>
          <w:szCs w:val="20"/>
        </w:rPr>
      </w:pPr>
      <w:r>
        <w:rPr>
          <w:rFonts w:ascii="Trebuchet MS" w:hAnsi="Trebuchet MS"/>
          <w:color w:val="000000"/>
          <w:sz w:val="20"/>
          <w:szCs w:val="20"/>
        </w:rPr>
        <w:t>A Risk Assessment.</w:t>
      </w:r>
      <w:r>
        <w:rPr>
          <w:rFonts w:ascii="Trebuchet MS" w:hAnsi="Trebuchet MS"/>
          <w:sz w:val="20"/>
          <w:szCs w:val="20"/>
          <w:lang w:val="en-GB"/>
        </w:rPr>
        <w:t xml:space="preserve"> A preliminary risk assessment and outline of the health and safety procedures that the tenderer intends to implement for the duration of the works. These documents shall act as a basis for more detailed reports prior to commencement of works by the winning bidder.</w:t>
      </w:r>
      <w:r>
        <w:rPr>
          <w:rFonts w:ascii="Trebuchet MS" w:hAnsi="Trebuchet MS"/>
          <w:color w:val="000000"/>
          <w:sz w:val="20"/>
          <w:szCs w:val="20"/>
        </w:rPr>
        <w:t xml:space="preserve"> </w:t>
      </w:r>
      <w:r>
        <w:rPr>
          <w:rFonts w:ascii="Trebuchet MS" w:hAnsi="Trebuchet MS" w:cs="Arial"/>
          <w:sz w:val="20"/>
          <w:szCs w:val="20"/>
          <w:vertAlign w:val="superscript"/>
          <w:lang w:val="en-GB"/>
        </w:rPr>
        <w:t>(Note 3)</w:t>
      </w:r>
    </w:p>
    <w:p>
      <w:pPr>
        <w:numPr>
          <w:ilvl w:val="0"/>
          <w:numId w:val="1"/>
        </w:numPr>
        <w:tabs>
          <w:tab w:val="left" w:pos="72"/>
        </w:tabs>
        <w:spacing w:after="0" w:line="360" w:lineRule="auto"/>
        <w:jc w:val="both"/>
        <w:rPr>
          <w:rFonts w:ascii="Trebuchet MS" w:hAnsi="Trebuchet MS"/>
          <w:b/>
          <w:color w:val="000000"/>
          <w:sz w:val="20"/>
          <w:szCs w:val="20"/>
        </w:rPr>
      </w:pPr>
      <w:r>
        <w:rPr>
          <w:rFonts w:ascii="Trebuchet MS" w:hAnsi="Trebuchet MS"/>
          <w:color w:val="000000"/>
          <w:sz w:val="20"/>
          <w:szCs w:val="20"/>
        </w:rPr>
        <w:t>A Gantt Chart Programme of Works as outlined in the Works Tenderer Technical Questionnaire. The implementation period for this tender is 20 weeks from order to start works.</w:t>
      </w:r>
      <w:r>
        <w:rPr>
          <w:rFonts w:ascii="Trebuchet MS" w:hAnsi="Trebuchet MS" w:cs="Arial"/>
          <w:sz w:val="20"/>
          <w:szCs w:val="20"/>
          <w:vertAlign w:val="superscript"/>
          <w:lang w:val="en-GB"/>
        </w:rPr>
        <w:t xml:space="preserve"> (Note 3)</w:t>
      </w: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jc w:val="both"/>
        <w:rPr>
          <w:rFonts w:cstheme="minorHAnsi"/>
        </w:rPr>
      </w:pPr>
    </w:p>
    <w:p>
      <w:pPr>
        <w:spacing w:after="0" w:line="360" w:lineRule="auto"/>
        <w:rPr>
          <w:rFonts w:eastAsia="Times New Roman" w:cstheme="minorHAnsi"/>
          <w:kern w:val="0"/>
          <w:lang w:eastAsia="mt-MT"/>
          <w14:ligatures w14:val="none"/>
        </w:rPr>
      </w:pPr>
      <w:r>
        <w:rPr>
          <w:rFonts w:eastAsia="Times New Roman" w:cstheme="minorHAnsi"/>
          <w:b/>
          <w:bCs/>
          <w:color w:val="000000"/>
          <w:kern w:val="0"/>
          <w:lang w:eastAsia="mt-MT"/>
          <w14:ligatures w14:val="none"/>
        </w:rPr>
        <w:t xml:space="preserve">Technical Offer Declaration: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I / We declare that as part of our technical offer, we confirm that the materials and equipment that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will be ordered and or purchases will be in accordance with the Technical Specifications (Section 4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of the Tender Document) and as detailed in the Bill of Quantities and that the works will be carried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out in accordance with the approved restoration method statement.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I/We confirm that we will submit all literature that may be requested by the Contracting Authority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for its approval prior to ordering and/or purchasing materials and equipment. I/We hereby confirm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that we will submit samples that may be requested by the Contracting Authority for materials and/or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equipment, for approval of the Contracting Authority prior to ordering and/or purchasing material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and/or equipment.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Name of Tenderer / Company: ............................................................ </w:t>
      </w:r>
    </w:p>
    <w:p>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Signature:................................................... Date:........................... </w:t>
      </w:r>
    </w:p>
    <w:p>
      <w:pPr>
        <w:spacing w:after="0" w:line="360" w:lineRule="auto"/>
        <w:jc w:val="both"/>
        <w:rPr>
          <w:rFonts w:cstheme="minorHAnsi"/>
        </w:rPr>
      </w:pPr>
      <w:r>
        <w:rPr>
          <w:rFonts w:eastAsia="Times New Roman" w:cstheme="minorHAnsi"/>
          <w:color w:val="000000"/>
          <w:kern w:val="0"/>
          <w:lang w:eastAsia="mt-MT"/>
          <w14:ligatures w14:val="none"/>
        </w:rPr>
        <w:t>(</w:t>
      </w:r>
      <w:r>
        <w:rPr>
          <w:rFonts w:eastAsia="Times New Roman" w:cstheme="minorHAnsi"/>
          <w:i/>
          <w:iCs/>
          <w:color w:val="000000"/>
          <w:kern w:val="0"/>
          <w:lang w:eastAsia="mt-MT"/>
          <w14:ligatures w14:val="none"/>
        </w:rPr>
        <w:t>the person or persons authorised to sign on behalf of the tenderer</w: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0415B5"/>
    <w:multiLevelType w:val="multilevel"/>
    <w:tmpl w:val="400415B5"/>
    <w:lvl w:ilvl="0" w:tentative="0">
      <w:start w:val="1"/>
      <w:numFmt w:val="lowerLetter"/>
      <w:lvlText w:val="%1)"/>
      <w:lvlJc w:val="left"/>
      <w:pPr>
        <w:ind w:left="720" w:hanging="360"/>
      </w:pPr>
      <w:rPr>
        <w:rFonts w:hint="default" w:cs="Times New Roman"/>
        <w:color w:val="00000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5B5"/>
    <w:rsid w:val="004725B5"/>
    <w:rsid w:val="1B1E1342"/>
    <w:rsid w:val="6F4A2B2C"/>
  </w:rsids>
  <m:mathPr>
    <m:mathFont m:val="Cambria Math"/>
    <m:brkBin m:val="before"/>
    <m:brkBinSub m:val="--"/>
    <m:smallFrac m:val="0"/>
    <m:dispDef/>
    <m:lMargin m:val="0"/>
    <m:rMargin m:val="0"/>
    <m:defJc m:val="centerGroup"/>
    <m:wrapIndent m:val="1440"/>
    <m:intLim m:val="subSup"/>
    <m:naryLim m:val="undOvr"/>
  </m:mathPr>
  <w:themeFontLang w:val="mt-M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mt-MT" w:eastAsia="en-US"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unhideWhenUsed/>
    <w:uiPriority w:val="0"/>
    <w:rPr>
      <w:sz w:val="16"/>
      <w:szCs w:val="16"/>
    </w:rPr>
  </w:style>
  <w:style w:type="paragraph" w:styleId="5">
    <w:name w:val="annotation text"/>
    <w:basedOn w:val="1"/>
    <w:link w:val="8"/>
    <w:unhideWhenUsed/>
    <w:uiPriority w:val="0"/>
    <w:pPr>
      <w:spacing w:after="0" w:line="240" w:lineRule="auto"/>
    </w:pPr>
    <w:rPr>
      <w:rFonts w:ascii="Times New Roman" w:hAnsi="Times New Roman" w:eastAsia="Times New Roman" w:cs="Times New Roman"/>
      <w:kern w:val="0"/>
      <w:sz w:val="20"/>
      <w:szCs w:val="20"/>
      <w:lang w:val="en-US"/>
      <w14:ligatures w14:val="none"/>
    </w:rPr>
  </w:style>
  <w:style w:type="paragraph" w:styleId="6">
    <w:name w:val="List Paragraph"/>
    <w:basedOn w:val="1"/>
    <w:link w:val="7"/>
    <w:qFormat/>
    <w:uiPriority w:val="34"/>
    <w:pPr>
      <w:spacing w:after="0" w:line="240" w:lineRule="auto"/>
      <w:ind w:left="720"/>
      <w:contextualSpacing/>
    </w:pPr>
    <w:rPr>
      <w:rFonts w:ascii="Times New Roman" w:hAnsi="Times New Roman" w:eastAsia="Times New Roman" w:cs="Times New Roman"/>
      <w:kern w:val="0"/>
      <w:sz w:val="24"/>
      <w:szCs w:val="24"/>
      <w:lang w:val="en-US"/>
      <w14:ligatures w14:val="none"/>
    </w:rPr>
  </w:style>
  <w:style w:type="character" w:customStyle="1" w:styleId="7">
    <w:name w:val="List Paragraph Char"/>
    <w:link w:val="6"/>
    <w:uiPriority w:val="34"/>
    <w:rPr>
      <w:rFonts w:ascii="Times New Roman" w:hAnsi="Times New Roman" w:eastAsia="Times New Roman" w:cs="Times New Roman"/>
      <w:kern w:val="0"/>
      <w:sz w:val="24"/>
      <w:szCs w:val="24"/>
      <w:lang w:val="en-US"/>
      <w14:ligatures w14:val="none"/>
    </w:rPr>
  </w:style>
  <w:style w:type="character" w:customStyle="1" w:styleId="8">
    <w:name w:val="Comment Text Char"/>
    <w:basedOn w:val="2"/>
    <w:link w:val="5"/>
    <w:uiPriority w:val="0"/>
    <w:rPr>
      <w:rFonts w:ascii="Times New Roman" w:hAnsi="Times New Roman" w:eastAsia="Times New Roman" w:cs="Times New Roman"/>
      <w:kern w:val="0"/>
      <w:sz w:val="20"/>
      <w:szCs w:val="20"/>
      <w:lang w:val="en-US"/>
      <w14:ligatures w14: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406</Words>
  <Characters>2316</Characters>
  <Lines>19</Lines>
  <Paragraphs>5</Paragraphs>
  <TotalTime>11</TotalTime>
  <ScaleCrop>false</ScaleCrop>
  <LinksUpToDate>false</LinksUpToDate>
  <CharactersWithSpaces>2717</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2023-05-08T17:23:00Z</dcterms:created>
  <dc:creator>Christa De Giovanni</dc:creator>
  <cp:lastModifiedBy>Amanda</cp:lastModifiedBy>
  <dcterms:modified xsi:type="dcterms:W3CDTF">2023-08-08T08:36:33Z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2057-12.2.0.13110</vt:lpwstr>
  </property>
  <property fmtid="{D5CDD505-2E9C-101B-9397-08002B2CF9AE}" pid="3" name="ICV">
    <vt:lpwstr>ADB54DA4E6F14203A6FF347B95D394EE_13</vt:lpwstr>
  </property>
</Properties>
</file>